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ind w:left="720"/>
        <w:jc w:val="right"/>
        <w:spacing w:before="0" w:beforeAutospacing="0" w:after="0" w:afterAutospacing="0"/>
        <w:shd w:val="clear" w:color="auto" w:fill="ffffff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Доклад </w:t>
      </w:r>
      <w:r>
        <w:rPr>
          <w:i/>
          <w:iCs/>
          <w:sz w:val="28"/>
          <w:szCs w:val="28"/>
        </w:rPr>
        <w:br/>
      </w:r>
      <w:r>
        <w:rPr>
          <w:i/>
          <w:iCs/>
          <w:sz w:val="28"/>
          <w:szCs w:val="28"/>
        </w:rPr>
        <w:t xml:space="preserve">государственного регистратора</w:t>
      </w: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pStyle w:val="867"/>
        <w:ind w:left="720"/>
        <w:jc w:val="right"/>
        <w:spacing w:before="0" w:beforeAutospacing="0" w:after="0" w:afterAutospacing="0"/>
        <w:shd w:val="clear" w:color="auto" w:fill="ffffff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Межмуниципального Новоалтайского отдела </w:t>
      </w:r>
      <w:r>
        <w:rPr>
          <w:i/>
          <w:iCs/>
          <w:sz w:val="28"/>
          <w:szCs w:val="28"/>
        </w:rPr>
        <w:br/>
        <w:t xml:space="preserve">Управления Росреестра по Алтайскому краю</w:t>
      </w: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pStyle w:val="867"/>
        <w:ind w:left="720"/>
        <w:jc w:val="right"/>
        <w:spacing w:before="0" w:beforeAutospacing="0" w:after="0" w:afterAutospacing="0"/>
        <w:shd w:val="clear" w:color="auto" w:fill="ffffff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pStyle w:val="867"/>
        <w:ind w:left="720"/>
        <w:jc w:val="right"/>
        <w:spacing w:before="0" w:beforeAutospacing="0" w:after="0" w:afterAutospacing="0"/>
        <w:shd w:val="clear" w:color="auto" w:fill="ffffff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Родионовой Елены Евгеньевны</w:t>
      </w: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тему «Типичные ошибки кадастровых инженеров»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подготовленных кадастровыми инженерами технических, межевых планов, актов обследования существенно влияет на количество принятых решений о приостановлении, соответственно на качество</w:t>
      </w:r>
      <w:r>
        <w:rPr>
          <w:rFonts w:ascii="Times New Roman" w:hAnsi="Times New Roman" w:cs="Times New Roman"/>
          <w:sz w:val="28"/>
          <w:szCs w:val="28"/>
        </w:rPr>
        <w:t xml:space="preserve"> и сроки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предоставляемых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Ошибки встречаемые в межевых планах: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ind w:left="0" w:righ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    Неверно 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заполняется </w:t>
      </w: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 xml:space="preserve">адрес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 объекта недвижимости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.</w:t>
      </w:r>
      <w: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Установленный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адрес заполняется при наличии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сведений в ФИАС, либо </w:t>
        <w:br/>
        <w:t xml:space="preserve">на основании акта органа государственной власти или органа местного самоуправления, уполномоченных на присвоение адресов объектам недвижимости, в случае, если адрес установлен до вступления в силу Постановления № 1221 от 19.11.2014.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отсутствии установленного адреса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указывается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местоположение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объекта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</w:r>
      <w:r>
        <w:rPr>
          <w:rFonts w:ascii="Times New Roman" w:hAnsi="Times New Roman" w:cs="Times New Roman"/>
          <w:i/>
          <w:iCs/>
          <w:sz w:val="28"/>
          <w:szCs w:val="28"/>
        </w:rPr>
      </w:r>
    </w:p>
    <w:p>
      <w:pPr>
        <w:pStyle w:val="868"/>
        <w:jc w:val="both"/>
        <w:spacing w:after="100"/>
        <w:shd w:val="clear" w:color="auto" w:fill="ffffff"/>
        <w:rPr>
          <w:rFonts w:ascii="Times New Roman" w:hAnsi="Times New Roman" w:eastAsia="Verdana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Часто в межевых планах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Verdana" w:cs="Times New Roman"/>
          <w:sz w:val="28"/>
          <w:szCs w:val="28"/>
          <w:highlight w:val="white"/>
        </w:rPr>
        <w:t xml:space="preserve">не верно указывают </w:t>
      </w:r>
      <w:r>
        <w:rPr>
          <w:rFonts w:ascii="Times New Roman" w:hAnsi="Times New Roman" w:eastAsia="Verdana" w:cs="Times New Roman"/>
          <w:b/>
          <w:sz w:val="28"/>
          <w:szCs w:val="28"/>
          <w:highlight w:val="white"/>
        </w:rPr>
        <w:t xml:space="preserve">предельные минимальный </w:t>
        <w:br/>
        <w:t xml:space="preserve">и максимальный размеры земельного участка</w:t>
      </w:r>
      <w:r>
        <w:rPr>
          <w:rFonts w:ascii="Times New Roman" w:hAnsi="Times New Roman" w:eastAsia="Verdana" w:cs="Times New Roman"/>
          <w:sz w:val="28"/>
          <w:szCs w:val="28"/>
          <w:highlight w:val="white"/>
        </w:rPr>
        <w:t xml:space="preserve">, соответствующий виду разрешенного использования</w:t>
      </w:r>
      <w:r>
        <w:rPr>
          <w:rFonts w:ascii="Times New Roman" w:hAnsi="Times New Roman" w:eastAsia="Verdana" w:cs="Times New Roman"/>
          <w:sz w:val="28"/>
          <w:szCs w:val="28"/>
        </w:rPr>
        <w:t xml:space="preserve">.</w:t>
      </w:r>
      <w:r>
        <w:rPr>
          <w:rFonts w:ascii="Times New Roman" w:hAnsi="Times New Roman" w:eastAsia="Verdana" w:cs="Times New Roman"/>
          <w:sz w:val="28"/>
          <w:szCs w:val="28"/>
        </w:rPr>
        <w:t xml:space="preserve"> </w:t>
      </w:r>
      <w:r>
        <w:rPr>
          <w:rFonts w:ascii="Times New Roman" w:hAnsi="Times New Roman" w:eastAsia="Verdana" w:cs="Times New Roman"/>
          <w:sz w:val="28"/>
          <w:szCs w:val="28"/>
        </w:rPr>
      </w:r>
      <w:r>
        <w:rPr>
          <w:rFonts w:ascii="Times New Roman" w:hAnsi="Times New Roman" w:eastAsia="Verdana" w:cs="Times New Roman"/>
          <w:sz w:val="28"/>
          <w:szCs w:val="28"/>
        </w:rPr>
      </w:r>
    </w:p>
    <w:p>
      <w:pPr>
        <w:pStyle w:val="868"/>
        <w:jc w:val="both"/>
        <w:spacing w:after="10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 53 Требований к подготовке</w:t>
      </w:r>
      <w:r>
        <w:rPr>
          <w:rFonts w:ascii="Times New Roman" w:hAnsi="Times New Roman" w:cs="Times New Roman"/>
          <w:sz w:val="28"/>
          <w:szCs w:val="28"/>
        </w:rPr>
        <w:t xml:space="preserve"> Межевого плана, утвержденных приказом Росреестра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/0592 </w:t>
      </w:r>
      <w:r>
        <w:rPr>
          <w:rFonts w:ascii="Times New Roman" w:hAnsi="Times New Roman" w:cs="Times New Roman"/>
          <w:sz w:val="28"/>
          <w:szCs w:val="28"/>
        </w:rPr>
        <w:t xml:space="preserve">предельные минимальный и максимальный размеры, соответствующие виду разрешенного использования земельного участка, указываются на основании документов, устанавливающих такие размеры </w:t>
        <w:br/>
        <w:t xml:space="preserve">в соответствии с законодательством Российской Федерации.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Встречаются межевые планы по проведению кадастровых работ в результате раздела или выдела земельных участков, площадь которых меньше минимальных размеров, предусмотренных градостроительным регламентом.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00" w:after="0" w:line="240" w:lineRule="auto"/>
        <w:rPr>
          <w:rFonts w:ascii="Times New Roman" w:hAnsi="Times New Roman" w:cs="Times New Roman"/>
          <w:sz w:val="28"/>
          <w:szCs w:val="28"/>
        </w:rPr>
      </w:pPr>
      <w:r/>
      <w:hyperlink r:id="rId11" w:tooltip="consultantplus://offline/ref=2403F4DD8183E6B537B3A6D2D20BC435C05FD555CF06E408A0896B9FCB2483EA4969C3B4A53EAEDB8D73B22ACD01C5BCAA5F4767C9mFT7B" w:history="1">
        <w:r>
          <w:rPr>
            <w:rStyle w:val="869"/>
            <w:rFonts w:ascii="Times New Roman" w:hAnsi="Times New Roman" w:cs="Times New Roman"/>
            <w:color w:val="0000ff"/>
            <w:sz w:val="28"/>
            <w:szCs w:val="28"/>
          </w:rPr>
          <w:t xml:space="preserve">Статья 11.9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 РФ предусматривает требования, предъявляемые к образуемым и измененным земельным участкам. Это значит, что, в случае если по инициативе правообладател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 xml:space="preserve"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разделение земельного участка на несколько участков, размеры вновь образованных земельных участков не должны быть меньше</w:t>
      </w:r>
      <w:r>
        <w:rPr>
          <w:rFonts w:ascii="Times New Roman" w:hAnsi="Times New Roman" w:cs="Times New Roman"/>
          <w:sz w:val="28"/>
          <w:szCs w:val="28"/>
        </w:rPr>
        <w:t xml:space="preserve"> или больше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регламентом размеров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при проведении кадастровых работ, необходимо использовать документы территориального планирования конкретных муниципальных образований.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Встречается ошибка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согласования границ</w:t>
      </w:r>
      <w:r>
        <w:rPr>
          <w:rFonts w:ascii="Times New Roman" w:hAnsi="Times New Roman" w:cs="Times New Roman"/>
          <w:sz w:val="28"/>
          <w:szCs w:val="28"/>
        </w:rPr>
        <w:t xml:space="preserve"> при уточнении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ч.3 ст. 39 № 221-ФЗ «О кадастровой 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согласование местоположения г</w:t>
      </w:r>
      <w:r>
        <w:rPr>
          <w:rFonts w:ascii="Times New Roman" w:hAnsi="Times New Roman" w:cs="Times New Roman"/>
          <w:sz w:val="28"/>
          <w:szCs w:val="28"/>
        </w:rPr>
        <w:t xml:space="preserve">раниц прово</w:t>
      </w:r>
      <w:r>
        <w:rPr>
          <w:rFonts w:ascii="Times New Roman" w:hAnsi="Times New Roman" w:cs="Times New Roman"/>
          <w:sz w:val="28"/>
          <w:szCs w:val="28"/>
        </w:rPr>
        <w:t xml:space="preserve">дится с лицами, обладающими смежными земельными участками на праве: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1) собственности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(за исключением случаев, если такие смежные земельные участки, находящиеся в государственной или муниципальной собственнос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ти, предоставлены гражданам в пожизненное наследуемое владение, постоянное (бессрочное) пользование либо юридическим лицам, не являющимся государственными или муниципальными учреждениями либо казенными предприятиями, в постоянное (бессрочное) пользование);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2) пожизненного наследуемого владения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3) постоянного (бессрочного) пользования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(за исключением случаев, если такие смежные земельные участки предоставлены государственным или муниципальным учреждениям, казенным предприятиям, органам государственной власти или органам местного самоуправления в постоянное (бессрочное) пользование);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4) аренды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имени указанных в настоящей статье лиц в согласовании местоположения границ вправе участвовать их представители, действующие в силу полномочий.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Встречаются акты согласования, в которых: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pStyle w:val="866"/>
        <w:ind w:left="0" w:hanging="11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все границы согласованы;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left="0" w:hanging="11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не содержатся подписи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лиц;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left="0" w:hanging="11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включ</w:t>
      </w:r>
      <w:r>
        <w:rPr>
          <w:rFonts w:ascii="Times New Roman" w:hAnsi="Times New Roman" w:cs="Times New Roman"/>
          <w:sz w:val="28"/>
          <w:szCs w:val="28"/>
        </w:rPr>
        <w:t xml:space="preserve">ены </w:t>
      </w:r>
      <w:r>
        <w:rPr>
          <w:rFonts w:ascii="Times New Roman" w:hAnsi="Times New Roman" w:cs="Times New Roman"/>
          <w:sz w:val="28"/>
          <w:szCs w:val="28"/>
        </w:rPr>
        <w:t xml:space="preserve">в приложение копии правоустанавливающих документов, если право на смежные земельные участки не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ind w:left="0" w:hanging="11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Ошибки встречаемые в Технических планах.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каждом совещании с кадастровыми инженерами озвучивается ошибка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  <w:br/>
        <w:t xml:space="preserve">о наименовании.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Внесение в ЕГРН сведений о наименовании данных здания, сооружения или помещения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либо об изменение такого наименования (если такое изменение </w:t>
        <w:br/>
        <w:t xml:space="preserve">не связано с их реконструкцией, перепланировкой или переустройством </w:t>
        <w:br/>
        <w:t xml:space="preserve">либо изменением их назначения)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вносятся только в случаях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предусмотренных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ч. 18 ст.70 218 -ФЗ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здания или сооружения в соответствии со сведениями о наименовании, содержащимися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разрешении на ввод</w:t>
      </w:r>
      <w:r>
        <w:rPr>
          <w:rFonts w:ascii="Times New Roman" w:hAnsi="Times New Roman" w:cs="Times New Roman"/>
          <w:sz w:val="28"/>
          <w:szCs w:val="28"/>
        </w:rPr>
        <w:t xml:space="preserve"> объекта в эксплуатацию;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здания или сооружения в соответствии со сведениями о наиме</w:t>
      </w:r>
      <w:r>
        <w:rPr>
          <w:rFonts w:ascii="Times New Roman" w:hAnsi="Times New Roman" w:cs="Times New Roman"/>
          <w:sz w:val="28"/>
          <w:szCs w:val="28"/>
        </w:rPr>
        <w:t xml:space="preserve">новании, содержащимися в едином государственном реестре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 xml:space="preserve"> (памятников истории и культуры) народов Российской Федерации, если такое здание или такое сооружение является объектом культурного наследия и включено </w:t>
        <w:br/>
        <w:t xml:space="preserve">в указанный реестр;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автомобильной дороги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сведениями о наименовании, содержащимися в едином государственном реестре автомобильных дорог, если соответствующее сооружение является составной частью автомобильной дороги.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539"/>
        <w:jc w:val="both"/>
        <w:spacing w:before="28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Росреестра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от 04.03.2022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/0072 утверждена форма декларации </w:t>
        <w:br/>
        <w:t xml:space="preserve">об объекте недвижимости, требования к ее подготовке, состав содержащихся в ней сведений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contextualSpacing/>
        <w:ind w:firstLine="539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Частой ошибкой при заполнении декларации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части указания назначения здания, если это Жилой дом,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Жилое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необходимо указывать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ЖИЛОЙ ДОМ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», т.к.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 ч. 5 ст. 8 Закона 218-ФЗ, назначение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 здания могут быть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следующие:- нежилое, - многоквартирный дом,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жилой дом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- садовый дом, - гараж.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(назначение: жилое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только у помещений)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В деклариции и техническом плане часто различается сведения о материале стан, годе завершения строительства.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7"/>
        <w:ind w:firstLine="709"/>
        <w:jc w:val="both"/>
        <w:spacing w:before="0" w:beforeAutospacing="0" w:after="0" w:afterAutospacing="0"/>
        <w:shd w:val="clear" w:color="auto" w:fill="ffffff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В завершении хочу поблагодарить </w:t>
      </w:r>
      <w:r>
        <w:rPr>
          <w:color w:val="22272f"/>
          <w:sz w:val="28"/>
          <w:szCs w:val="28"/>
        </w:rPr>
        <w:t xml:space="preserve">к</w:t>
      </w:r>
      <w:r>
        <w:rPr>
          <w:color w:val="22272f"/>
          <w:sz w:val="28"/>
          <w:szCs w:val="28"/>
        </w:rPr>
        <w:t xml:space="preserve">адастровы</w:t>
      </w:r>
      <w:r>
        <w:rPr>
          <w:color w:val="22272f"/>
          <w:sz w:val="28"/>
          <w:szCs w:val="28"/>
        </w:rPr>
        <w:t xml:space="preserve">х</w:t>
      </w:r>
      <w:r>
        <w:rPr>
          <w:color w:val="22272f"/>
          <w:sz w:val="28"/>
          <w:szCs w:val="28"/>
        </w:rPr>
        <w:t xml:space="preserve"> инженер</w:t>
      </w:r>
      <w:r>
        <w:rPr>
          <w:color w:val="22272f"/>
          <w:sz w:val="28"/>
          <w:szCs w:val="28"/>
        </w:rPr>
        <w:t xml:space="preserve">ов, которые оперативно реагируют на замечания, </w:t>
      </w:r>
      <w:r>
        <w:rPr>
          <w:color w:val="22272f"/>
          <w:sz w:val="28"/>
          <w:szCs w:val="28"/>
        </w:rPr>
        <w:t xml:space="preserve">стараются в минимально короткие сроки</w:t>
      </w:r>
      <w:r>
        <w:rPr>
          <w:color w:val="22272f"/>
          <w:sz w:val="28"/>
          <w:szCs w:val="28"/>
        </w:rPr>
        <w:t xml:space="preserve"> исправлять</w:t>
      </w:r>
      <w:r>
        <w:rPr>
          <w:color w:val="22272f"/>
          <w:sz w:val="28"/>
          <w:szCs w:val="28"/>
        </w:rPr>
        <w:t xml:space="preserve"> допущен</w:t>
      </w:r>
      <w:r>
        <w:rPr>
          <w:color w:val="22272f"/>
          <w:sz w:val="28"/>
          <w:szCs w:val="28"/>
        </w:rPr>
        <w:t xml:space="preserve">ные</w:t>
      </w:r>
      <w:r>
        <w:rPr>
          <w:color w:val="22272f"/>
          <w:sz w:val="28"/>
          <w:szCs w:val="28"/>
        </w:rPr>
        <w:t xml:space="preserve"> ошиб</w:t>
      </w:r>
      <w:r>
        <w:rPr>
          <w:color w:val="22272f"/>
          <w:sz w:val="28"/>
          <w:szCs w:val="28"/>
        </w:rPr>
        <w:t xml:space="preserve">ки. </w:t>
      </w:r>
      <w:r>
        <w:rPr>
          <w:color w:val="22272f"/>
          <w:sz w:val="28"/>
          <w:szCs w:val="28"/>
        </w:rPr>
      </w:r>
      <w:r>
        <w:rPr>
          <w:color w:val="22272f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240" w:lineRule="auto"/>
        <w:rPr>
          <w:rStyle w:val="870"/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Style w:val="870"/>
          <w:rFonts w:ascii="Times New Roman" w:hAnsi="Times New Roman" w:cs="Times New Roman"/>
          <w:i/>
          <w:sz w:val="28"/>
          <w:szCs w:val="28"/>
        </w:rPr>
      </w:r>
      <w:r>
        <w:rPr>
          <w:rStyle w:val="870"/>
          <w:rFonts w:ascii="Times New Roman" w:hAnsi="Times New Roman" w:cs="Times New Roman"/>
          <w:i/>
          <w:sz w:val="28"/>
          <w:szCs w:val="28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870"/>
          <w:rFonts w:ascii="Times New Roman" w:hAnsi="Times New Roman" w:cs="Times New Roman"/>
          <w:sz w:val="28"/>
          <w:szCs w:val="28"/>
        </w:rPr>
        <w:t xml:space="preserve">Спасибо за внимание!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imSun">
    <w:panose1 w:val="02000506000000020000"/>
  </w:font>
  <w:font w:name="Mangal">
    <w:panose1 w:val="02040503050306020203"/>
  </w:font>
  <w:font w:name="Tahoma">
    <w:panose1 w:val="020B0604030504040204"/>
  </w:font>
  <w:font w:name="TimesNewRomanPSMT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2055471"/>
      <w:docPartObj>
        <w:docPartGallery w:val="Page Numbers (Top of Page)"/>
        <w:docPartUnique w:val="true"/>
      </w:docPartObj>
      <w:rPr/>
    </w:sdtPr>
    <w:sdtContent>
      <w:p>
        <w:pPr>
          <w:pStyle w:val="8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0" w:hanging="8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2"/>
    <w:next w:val="862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basedOn w:val="863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2"/>
    <w:next w:val="862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basedOn w:val="863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basedOn w:val="863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basedOn w:val="863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basedOn w:val="863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basedOn w:val="863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basedOn w:val="86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2"/>
    <w:next w:val="862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basedOn w:val="863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2"/>
    <w:next w:val="862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basedOn w:val="863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2"/>
    <w:next w:val="862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basedOn w:val="863"/>
    <w:link w:val="707"/>
    <w:uiPriority w:val="10"/>
    <w:rPr>
      <w:sz w:val="48"/>
      <w:szCs w:val="48"/>
    </w:rPr>
  </w:style>
  <w:style w:type="paragraph" w:styleId="709">
    <w:name w:val="Subtitle"/>
    <w:basedOn w:val="862"/>
    <w:next w:val="862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3"/>
    <w:link w:val="709"/>
    <w:uiPriority w:val="11"/>
    <w:rPr>
      <w:sz w:val="24"/>
      <w:szCs w:val="24"/>
    </w:rPr>
  </w:style>
  <w:style w:type="paragraph" w:styleId="711">
    <w:name w:val="Quote"/>
    <w:basedOn w:val="862"/>
    <w:next w:val="862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2"/>
    <w:next w:val="862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character" w:styleId="715">
    <w:name w:val="Header Char"/>
    <w:basedOn w:val="863"/>
    <w:link w:val="871"/>
    <w:uiPriority w:val="99"/>
  </w:style>
  <w:style w:type="character" w:styleId="716">
    <w:name w:val="Footer Char"/>
    <w:basedOn w:val="863"/>
    <w:link w:val="873"/>
    <w:uiPriority w:val="99"/>
  </w:style>
  <w:style w:type="paragraph" w:styleId="717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basedOn w:val="717"/>
    <w:link w:val="873"/>
    <w:uiPriority w:val="99"/>
  </w:style>
  <w:style w:type="table" w:styleId="719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9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0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1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2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3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4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2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3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4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5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6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3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4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5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6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7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8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1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2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4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6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7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8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9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0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1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2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3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4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6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7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8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9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0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1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9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0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1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2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3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4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basedOn w:val="863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basedOn w:val="863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paragraph" w:styleId="866">
    <w:name w:val="List Paragraph"/>
    <w:basedOn w:val="862"/>
    <w:uiPriority w:val="34"/>
    <w:qFormat/>
    <w:pPr>
      <w:contextualSpacing/>
      <w:ind w:left="720"/>
      <w:spacing w:after="200" w:line="276" w:lineRule="auto"/>
    </w:pPr>
  </w:style>
  <w:style w:type="paragraph" w:styleId="867" w:customStyle="1">
    <w:name w:val="s_1"/>
    <w:basedOn w:val="8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8" w:customStyle="1">
    <w:name w:val="Обычный1"/>
    <w:pPr>
      <w:spacing w:after="0" w:line="276" w:lineRule="auto"/>
    </w:pPr>
    <w:rPr>
      <w:rFonts w:ascii="Arial" w:hAnsi="Arial" w:eastAsia="Arial" w:cs="Arial"/>
      <w:lang w:eastAsia="ru-RU"/>
    </w:rPr>
  </w:style>
  <w:style w:type="character" w:styleId="869">
    <w:name w:val="Hyperlink"/>
    <w:basedOn w:val="863"/>
    <w:uiPriority w:val="99"/>
    <w:unhideWhenUsed/>
    <w:rPr>
      <w:color w:val="0563c1" w:themeColor="hyperlink"/>
      <w:u w:val="single"/>
    </w:rPr>
  </w:style>
  <w:style w:type="character" w:styleId="870" w:customStyle="1">
    <w:name w:val="fontstyle01"/>
    <w:basedOn w:val="863"/>
    <w:rPr>
      <w:rFonts w:hint="default"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paragraph" w:styleId="871">
    <w:name w:val="Header"/>
    <w:basedOn w:val="862"/>
    <w:link w:val="8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863"/>
    <w:link w:val="871"/>
    <w:uiPriority w:val="99"/>
  </w:style>
  <w:style w:type="paragraph" w:styleId="873">
    <w:name w:val="Footer"/>
    <w:basedOn w:val="862"/>
    <w:link w:val="8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863"/>
    <w:link w:val="873"/>
    <w:uiPriority w:val="99"/>
  </w:style>
  <w:style w:type="paragraph" w:styleId="875">
    <w:name w:val="Normal (Web)"/>
    <w:basedOn w:val="86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6" w:customStyle="1">
    <w:name w:val="no-indent"/>
    <w:basedOn w:val="8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7">
    <w:name w:val="Balloon Text"/>
    <w:basedOn w:val="862"/>
    <w:link w:val="87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8" w:customStyle="1">
    <w:name w:val="Текст выноски Знак"/>
    <w:basedOn w:val="863"/>
    <w:link w:val="877"/>
    <w:uiPriority w:val="99"/>
    <w:semiHidden/>
    <w:rPr>
      <w:rFonts w:ascii="Tahoma" w:hAnsi="Tahoma" w:cs="Tahoma"/>
      <w:sz w:val="16"/>
      <w:szCs w:val="16"/>
    </w:rPr>
  </w:style>
  <w:style w:type="paragraph" w:styleId="879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SimSun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2403F4DD8183E6B537B3A6D2D20BC435C05FD555CF06E408A0896B9FCB2483EA4969C3B4A53EAEDB8D73B22ACD01C5BCAA5F4767C9mFT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B696-65E8-4429-8C23-46AA16DC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Полянина Ирина Леонидовна</dc:creator>
  <cp:keywords/>
  <dc:description/>
  <cp:revision>32</cp:revision>
  <dcterms:created xsi:type="dcterms:W3CDTF">2023-11-23T06:32:00Z</dcterms:created>
  <dcterms:modified xsi:type="dcterms:W3CDTF">2025-12-29T07:06:29Z</dcterms:modified>
</cp:coreProperties>
</file>